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B9" w:rsidRDefault="005847B9"/>
    <w:p w:rsidR="005142C3" w:rsidRDefault="005142C3" w:rsidP="005142C3">
      <w:r>
        <w:rPr>
          <w:rStyle w:val="Strong"/>
        </w:rPr>
        <w:t>Table I. </w:t>
      </w:r>
      <w:r>
        <w:t xml:space="preserve"> </w:t>
      </w:r>
      <w:r>
        <w:rPr>
          <w:rStyle w:val="Strong"/>
        </w:rPr>
        <w:t xml:space="preserve">Antimicrobial prophylaxis against infective endocarditis for the following patients who undergo dental procedures that involve manipulation of either gingival tissue or the </w:t>
      </w:r>
      <w:proofErr w:type="spellStart"/>
      <w:r>
        <w:rPr>
          <w:rStyle w:val="Strong"/>
        </w:rPr>
        <w:t>periapical</w:t>
      </w:r>
      <w:proofErr w:type="spellEnd"/>
      <w:r>
        <w:rPr>
          <w:rStyle w:val="Strong"/>
        </w:rPr>
        <w:t xml:space="preserve"> region of the teeth or perforation of the oral mucosa</w:t>
      </w:r>
    </w:p>
    <w:p w:rsidR="005142C3" w:rsidRDefault="005142C3" w:rsidP="005142C3">
      <w:r>
        <w:t> </w:t>
      </w:r>
    </w:p>
    <w:p w:rsidR="005142C3" w:rsidRDefault="005142C3" w:rsidP="005142C3">
      <w:r>
        <w:t> </w:t>
      </w:r>
    </w:p>
    <w:tbl>
      <w:tblPr>
        <w:tblW w:w="8589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262"/>
        <w:gridCol w:w="3327"/>
      </w:tblGrid>
      <w:tr w:rsidR="00F3366A" w:rsidTr="00F3366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C3" w:rsidRDefault="005142C3" w:rsidP="005142C3">
            <w:r>
              <w:rPr>
                <w:rStyle w:val="Strong"/>
              </w:rPr>
              <w:t>Patient Condition</w:t>
            </w:r>
          </w:p>
          <w:p w:rsidR="005142C3" w:rsidRDefault="005142C3" w:rsidP="005142C3">
            <w:r>
              <w:t> </w:t>
            </w:r>
          </w:p>
          <w:p w:rsidR="005142C3" w:rsidRDefault="005142C3" w:rsidP="005142C3">
            <w:r>
              <w:t> 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C3" w:rsidRDefault="005142C3" w:rsidP="005142C3">
            <w:r>
              <w:rPr>
                <w:rStyle w:val="Strong"/>
              </w:rPr>
              <w:t xml:space="preserve">Regimen in Children, Single Dose 30 to </w:t>
            </w:r>
          </w:p>
          <w:p w:rsidR="005142C3" w:rsidRDefault="005142C3" w:rsidP="005142C3">
            <w:r>
              <w:rPr>
                <w:rStyle w:val="Strong"/>
              </w:rPr>
              <w:t>60 Minutes Before Procedure</w:t>
            </w:r>
          </w:p>
          <w:p w:rsidR="005142C3" w:rsidRDefault="005142C3" w:rsidP="005142C3">
            <w:r>
              <w:t> </w:t>
            </w:r>
          </w:p>
        </w:tc>
      </w:tr>
      <w:tr w:rsidR="00F3366A" w:rsidTr="00F3366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66A" w:rsidRDefault="00F3366A" w:rsidP="00F33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Congenital heart disease (CHD)</w:t>
            </w:r>
          </w:p>
          <w:p w:rsidR="00F3366A" w:rsidRDefault="00F3366A" w:rsidP="00F33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-unrepaired cyanotic CHD</w:t>
            </w:r>
          </w:p>
          <w:p w:rsidR="00F3366A" w:rsidRDefault="00F3366A" w:rsidP="00F33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-completely repaired congenital heart defects with prosthetic material or device during the first six months after the procedure</w:t>
            </w:r>
          </w:p>
          <w:p w:rsidR="00F3366A" w:rsidRDefault="00F3366A" w:rsidP="00F33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-repaired CHD with residual defects at the site or adjacent to t</w:t>
            </w:r>
            <w:r w:rsidR="00032249">
              <w:rPr>
                <w:sz w:val="20"/>
                <w:szCs w:val="20"/>
              </w:rPr>
              <w:t xml:space="preserve">he site of a prosthetic patch </w:t>
            </w:r>
            <w:r>
              <w:rPr>
                <w:sz w:val="20"/>
                <w:szCs w:val="20"/>
              </w:rPr>
              <w:t>or device</w:t>
            </w:r>
          </w:p>
          <w:p w:rsidR="00F3366A" w:rsidRDefault="00F3366A" w:rsidP="005142C3">
            <w:pPr>
              <w:rPr>
                <w:sz w:val="20"/>
                <w:szCs w:val="20"/>
              </w:rPr>
            </w:pPr>
          </w:p>
          <w:p w:rsidR="005142C3" w:rsidRPr="005142C3" w:rsidRDefault="00F3366A" w:rsidP="00514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 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 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 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 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 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 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 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 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 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Oral amoxicillin, 50 mg</w:t>
            </w:r>
            <w:r w:rsidR="00120E92">
              <w:rPr>
                <w:sz w:val="20"/>
                <w:szCs w:val="20"/>
              </w:rPr>
              <w:t>/kg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 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Unable to take oral medication,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ampicillin, 50 mg/kg IM or IV, or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proofErr w:type="spellStart"/>
            <w:r w:rsidRPr="005142C3">
              <w:rPr>
                <w:sz w:val="20"/>
                <w:szCs w:val="20"/>
              </w:rPr>
              <w:t>cefazolin</w:t>
            </w:r>
            <w:proofErr w:type="spellEnd"/>
            <w:r w:rsidRPr="005142C3">
              <w:rPr>
                <w:sz w:val="20"/>
                <w:szCs w:val="20"/>
              </w:rPr>
              <w:t xml:space="preserve"> or </w:t>
            </w:r>
            <w:proofErr w:type="spellStart"/>
            <w:r w:rsidRPr="005142C3">
              <w:rPr>
                <w:sz w:val="20"/>
                <w:szCs w:val="20"/>
              </w:rPr>
              <w:t>cetriaxone</w:t>
            </w:r>
            <w:proofErr w:type="spellEnd"/>
            <w:r w:rsidRPr="005142C3">
              <w:rPr>
                <w:sz w:val="20"/>
                <w:szCs w:val="20"/>
              </w:rPr>
              <w:t>, 50 mg/kg IM or IV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 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 xml:space="preserve">Allergic to </w:t>
            </w:r>
            <w:proofErr w:type="spellStart"/>
            <w:r w:rsidRPr="005142C3">
              <w:rPr>
                <w:sz w:val="20"/>
                <w:szCs w:val="20"/>
              </w:rPr>
              <w:t>penicillins</w:t>
            </w:r>
            <w:proofErr w:type="spellEnd"/>
            <w:r w:rsidRPr="005142C3">
              <w:rPr>
                <w:sz w:val="20"/>
                <w:szCs w:val="20"/>
              </w:rPr>
              <w:t xml:space="preserve"> or </w:t>
            </w:r>
            <w:proofErr w:type="spellStart"/>
            <w:r w:rsidRPr="005142C3">
              <w:rPr>
                <w:sz w:val="20"/>
                <w:szCs w:val="20"/>
              </w:rPr>
              <w:t>ampicillin</w:t>
            </w:r>
            <w:proofErr w:type="spellEnd"/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 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Oral cephalexin 50 mg/kg or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clindamycin 20 mg/kg or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azithromycin or clarithromycin 15 mg/kg</w:t>
            </w:r>
            <w:bookmarkStart w:id="0" w:name="_GoBack"/>
            <w:bookmarkEnd w:id="0"/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 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Unable to take oral medication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 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proofErr w:type="spellStart"/>
            <w:r w:rsidRPr="005142C3">
              <w:rPr>
                <w:sz w:val="20"/>
                <w:szCs w:val="20"/>
              </w:rPr>
              <w:t>Cefazolin</w:t>
            </w:r>
            <w:proofErr w:type="spellEnd"/>
            <w:r w:rsidRPr="005142C3">
              <w:rPr>
                <w:sz w:val="20"/>
                <w:szCs w:val="20"/>
              </w:rPr>
              <w:t xml:space="preserve"> or </w:t>
            </w:r>
            <w:proofErr w:type="spellStart"/>
            <w:r w:rsidRPr="005142C3">
              <w:rPr>
                <w:sz w:val="20"/>
                <w:szCs w:val="20"/>
              </w:rPr>
              <w:t>cetriaxone</w:t>
            </w:r>
            <w:proofErr w:type="spellEnd"/>
            <w:r w:rsidRPr="005142C3">
              <w:rPr>
                <w:sz w:val="20"/>
                <w:szCs w:val="20"/>
              </w:rPr>
              <w:t xml:space="preserve"> 50 mg/kg IM or IV, or</w:t>
            </w:r>
          </w:p>
          <w:p w:rsidR="005142C3" w:rsidRPr="005142C3" w:rsidRDefault="005142C3" w:rsidP="005142C3">
            <w:pPr>
              <w:rPr>
                <w:sz w:val="20"/>
                <w:szCs w:val="20"/>
              </w:rPr>
            </w:pPr>
            <w:r w:rsidRPr="005142C3">
              <w:rPr>
                <w:sz w:val="20"/>
                <w:szCs w:val="20"/>
              </w:rPr>
              <w:t>clindamycin 20 mg/kg IM or IV</w:t>
            </w:r>
          </w:p>
        </w:tc>
      </w:tr>
    </w:tbl>
    <w:p w:rsidR="005142C3" w:rsidRDefault="005142C3" w:rsidP="005142C3">
      <w:r>
        <w:t>IM = intramuscularly;  IV = intravenously</w:t>
      </w:r>
    </w:p>
    <w:p w:rsidR="005142C3" w:rsidRDefault="005142C3"/>
    <w:sectPr w:rsidR="005142C3" w:rsidSect="004758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noPunctuationKerning/>
  <w:characterSpacingControl w:val="doNotCompress"/>
  <w:compat/>
  <w:rsids>
    <w:rsidRoot w:val="005142C3"/>
    <w:rsid w:val="00032249"/>
    <w:rsid w:val="00114605"/>
    <w:rsid w:val="00120E92"/>
    <w:rsid w:val="00152351"/>
    <w:rsid w:val="003C0559"/>
    <w:rsid w:val="00473F1A"/>
    <w:rsid w:val="00475899"/>
    <w:rsid w:val="005142C3"/>
    <w:rsid w:val="005847B9"/>
    <w:rsid w:val="00676130"/>
    <w:rsid w:val="00795578"/>
    <w:rsid w:val="009877D8"/>
    <w:rsid w:val="00F251D7"/>
    <w:rsid w:val="00F3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2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Editor</cp:lastModifiedBy>
  <cp:revision>4</cp:revision>
  <cp:lastPrinted>2012-12-03T19:03:00Z</cp:lastPrinted>
  <dcterms:created xsi:type="dcterms:W3CDTF">2012-12-03T19:04:00Z</dcterms:created>
  <dcterms:modified xsi:type="dcterms:W3CDTF">2012-12-03T19:05:00Z</dcterms:modified>
</cp:coreProperties>
</file>